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left"/>
        <w:tblInd w:w="-1.0000000000000009" w:type="dxa"/>
        <w:tblLayout w:type="fixed"/>
        <w:tblLook w:val="0000"/>
      </w:tblPr>
      <w:tblGrid>
        <w:gridCol w:w="2438"/>
        <w:gridCol w:w="7628"/>
        <w:tblGridChange w:id="0">
          <w:tblGrid>
            <w:gridCol w:w="2438"/>
            <w:gridCol w:w="7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ind w:left="708" w:hanging="708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stablecimiento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Instituto de Educación Superior Nro 7 -  Venado Tuerto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Profesorado de Educación Secundaria en Biología. Diseño Curric 2090/15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Espacio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Prácticas de Investigación (Formato Taller)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4º 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Asignación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 hs. cátedra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Profesor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Fernando Edgar Cuello</w:t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36"/>
          <w:szCs w:val="36"/>
          <w:u w:val="none"/>
          <w:shd w:fill="auto" w:val="clear"/>
          <w:vertAlign w:val="baseline"/>
          <w:rtl w:val="0"/>
        </w:rPr>
        <w:t xml:space="preserve">Planificación 2024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Fundamentación</w:t>
      </w:r>
    </w:p>
    <w:p w:rsidR="00000000" w:rsidDel="00000000" w:rsidP="00000000" w:rsidRDefault="00000000" w:rsidRPr="00000000" w14:paraId="00000011">
      <w:pPr>
        <w:spacing w:after="0" w:lineRule="auto"/>
        <w:rPr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vertAlign w:val="baseline"/>
          <w:rtl w:val="0"/>
        </w:rPr>
        <w:t xml:space="preserve">(Elaborado sobre diseño curricular)</w:t>
      </w:r>
    </w:p>
    <w:p w:rsidR="00000000" w:rsidDel="00000000" w:rsidP="00000000" w:rsidRDefault="00000000" w:rsidRPr="00000000" w14:paraId="00000012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 unidad curricular se propone dar continuidad práctica y teórica a los ejes de contenido abordados en Metodología de la Investigación. </w:t>
      </w:r>
    </w:p>
    <w:p w:rsidR="00000000" w:rsidDel="00000000" w:rsidP="00000000" w:rsidRDefault="00000000" w:rsidRPr="00000000" w14:paraId="00000013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Como dispositivo, el taller es un formato centrado en una producción que requiere el aprendizaje de un saber hacer construido en forma social y colaborativa. En este proceso los estudiantes van aprendiendo mientras producen y van resolviendo situaciones que encuentran en el transcurso de su tarea</w:t>
      </w:r>
    </w:p>
    <w:p w:rsidR="00000000" w:rsidDel="00000000" w:rsidP="00000000" w:rsidRDefault="00000000" w:rsidRPr="00000000" w14:paraId="00000014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 asunto central de esta unidad es la superación a la aproximación sólo en términos teóricos del proceso de investigación. Así, se procura el abordaje de manera conceptual y práctica a las diferentes fases de un diseño de investigación a partir del reconocimiento, la construcción y la puesta en práctica de algunas de las tareas inherentes a la producción de conocimientos, que involucre un acercamiento experiencial a la toma de decisiones metodológicas y por ende a las herramientas y técnicas de la metodología de la investigación. </w:t>
      </w:r>
    </w:p>
    <w:p w:rsidR="00000000" w:rsidDel="00000000" w:rsidP="00000000" w:rsidRDefault="00000000" w:rsidRPr="00000000" w14:paraId="00000015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contacto con la construcción de conocimientos académicos demanda el acercamiento efectivo a las tareas inherentes al quehacer de la investigación. Estas tareas pueden provenir de la investigación educativa, pero también pueden integrar las principales operaciones y procedimientos involucrados en la construcción de objetos propios del campo disciplinar o en diálogo con otros campos disciplinares. En cualquier caso, las prácticas investigativas se conciben como prácticas recortadas alrededor de una o varias fases dentro de una investigación, como la identificación de fuentes para la construcción del estado del arte, o la confección de protocolos para la recolección de datos según distintas técnicas, tales como guías de entrevista, protocolos de observación, selección de fuentes documentales, entre otros posibles y no implican necesariamente un proceso completo de investigación. </w:t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Propósitos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Propiciar la participación en experiencias formativas para la concreción de vicisitudes propias del trabajo de la investigación y de reflexión crítica sobre estas.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Propiciar experiencias de escrituras propias del mundo académico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Rule="auto"/>
        <w:ind w:left="720" w:hanging="360"/>
        <w:rPr/>
      </w:pPr>
      <w:bookmarkStart w:colFirst="0" w:colLast="0" w:name="_1fob9te" w:id="2"/>
      <w:bookmarkEnd w:id="2"/>
      <w:r w:rsidDel="00000000" w:rsidR="00000000" w:rsidRPr="00000000">
        <w:rPr>
          <w:vertAlign w:val="baseline"/>
          <w:rtl w:val="0"/>
        </w:rPr>
        <w:t xml:space="preserve">Desarrollar en el alumno criterios para la elección de diferentes técnicas de investigación</w:t>
      </w:r>
    </w:p>
    <w:p w:rsidR="00000000" w:rsidDel="00000000" w:rsidP="00000000" w:rsidRDefault="00000000" w:rsidRPr="00000000" w14:paraId="0000001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Ejes de 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vertAlign w:val="baseline"/>
          <w:rtl w:val="0"/>
        </w:rPr>
        <w:t xml:space="preserve">El proceso de construcción de un problema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identificación de la problemática y la delimitación de un tema de investigación.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proceso de constitución de la base de referencias bibliográficas.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de documentación de distintas fuentes y caminos seguidos para su obtención. La búsqueda de referencias: consulta en línea de sitios oficiales, instituciones de investigación, centros de documentación científica, observación crítica de la realidad.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formulación de preguntas de investigación y los objetivos de la investigación.</w:t>
      </w:r>
    </w:p>
    <w:p w:rsidR="00000000" w:rsidDel="00000000" w:rsidP="00000000" w:rsidRDefault="00000000" w:rsidRPr="00000000" w14:paraId="00000020">
      <w:pPr>
        <w:rPr>
          <w:i w:val="0"/>
          <w:color w:val="000000"/>
          <w:vertAlign w:val="baseline"/>
        </w:rPr>
      </w:pPr>
      <w:r w:rsidDel="00000000" w:rsidR="00000000" w:rsidRPr="00000000">
        <w:rPr>
          <w:i w:val="1"/>
          <w:color w:val="000000"/>
          <w:vertAlign w:val="baseline"/>
          <w:rtl w:val="0"/>
        </w:rPr>
        <w:t xml:space="preserve">Las técnicas en los abordajes cualitativos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observación y la observación en 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investigación etnográfica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Principales características. Distintas estrategias para la colecta y el ordenamiento del registro de la observación: notas de campo, notas teóricas, comentarios, descripciones, fichas. Preparación del material para la fase de análisis.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entrevista.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Tipos de entrevistas: entrevista en profundidad, historia de vida (observación longitudinal). Selección de los entrevistados: criterios. Duración del trabajo de campo. El cierre del trabajo de campo. La guía de entrevista. La elaboración de una guía de entrevista. El registro de la información de la entrevista: notas, grabación, transcripción textual. Análisis de los datos, el proceso de categorización.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Trabajo con grupos focales; investigación-acción y técnicas de investigación no intrusivas.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fuentes documentales.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Documentos públicos y privados. El uso de documentación visual. Las técnicas narrativas. El enfoque biográfico. Viejos y nuevos usos. Tratamiento de materiales biográficos.</w:t>
      </w:r>
    </w:p>
    <w:p w:rsidR="00000000" w:rsidDel="00000000" w:rsidP="00000000" w:rsidRDefault="00000000" w:rsidRPr="00000000" w14:paraId="00000025">
      <w:pPr>
        <w:rPr>
          <w:i w:val="0"/>
          <w:color w:val="000000"/>
          <w:vertAlign w:val="baseline"/>
        </w:rPr>
      </w:pPr>
      <w:r w:rsidDel="00000000" w:rsidR="00000000" w:rsidRPr="00000000">
        <w:rPr>
          <w:i w:val="1"/>
          <w:color w:val="000000"/>
          <w:vertAlign w:val="baseline"/>
          <w:rtl w:val="0"/>
        </w:rPr>
        <w:t xml:space="preserve">Las técnicas en los abordajes cuantitativos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noción de medición en Ciencias Sociales. Variables: nivel de medición y escalas. Unidad de análisis y unidad de medición. Tipos de muestras. Las estadísticas nacionales. Fuentes de datos secundarios. La colecta de datos por encuesta. Fuentes de datos primarios.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entrevista dirigida. El cuestionario: tipos (cuestionario por entrevista, auto administrado, etc.). Contenido del cuestionario en función de la pregunta y los objetivos del trabajo. Tipos de preguntas abiertas, cerradas, de opinión y de actitudes. Escalas.</w:t>
      </w:r>
    </w:p>
    <w:p w:rsidR="00000000" w:rsidDel="00000000" w:rsidP="00000000" w:rsidRDefault="00000000" w:rsidRPr="00000000" w14:paraId="00000028">
      <w:pPr>
        <w:rPr>
          <w:i w:val="0"/>
          <w:color w:val="000000"/>
          <w:vertAlign w:val="baseline"/>
        </w:rPr>
      </w:pPr>
      <w:r w:rsidDel="00000000" w:rsidR="00000000" w:rsidRPr="00000000">
        <w:rPr>
          <w:i w:val="1"/>
          <w:color w:val="000000"/>
          <w:vertAlign w:val="baseline"/>
          <w:rtl w:val="0"/>
        </w:rPr>
        <w:t xml:space="preserve">Técnicas de análisis de la información: procesamiento y sistematización de la información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de la información cuantitativa. Lectura de tablas estadísticas, análisis de cuadros con dos o más variables. Uso de procesadores.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de datos cualitativos: análisis de contenido, análisis del discurso. Categorización. La escritura de informes finales. La notación bibliográfica. Diferentes sistemas.</w:t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Encuadre metodológico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Continuación del proyecto de investigación planteado en el espacio curricular “Metodología de la investigación”, realizando prácticas recortadas del proceso de recolección de datos, análisis de los mismos y elaboración de una conclusión.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Escritura de monografía sobre el tema de investigación con carácter de escrito académico.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trabajará con sistemas de notación bibliográfica.</w:t>
      </w:r>
    </w:p>
    <w:p w:rsidR="00000000" w:rsidDel="00000000" w:rsidP="00000000" w:rsidRDefault="00000000" w:rsidRPr="00000000" w14:paraId="0000002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Temporalización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preparación</w:t>
      </w:r>
    </w:p>
    <w:p w:rsidR="00000000" w:rsidDel="00000000" w:rsidP="00000000" w:rsidRDefault="00000000" w:rsidRPr="00000000" w14:paraId="0000003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Cursado </w:t>
      </w:r>
    </w:p>
    <w:p w:rsidR="00000000" w:rsidDel="00000000" w:rsidP="00000000" w:rsidRDefault="00000000" w:rsidRPr="00000000" w14:paraId="00000032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el espacio curricular un taller, los estudiantes solo podrán cursar en forma presencial: </w:t>
      </w:r>
    </w:p>
    <w:p w:rsidR="00000000" w:rsidDel="00000000" w:rsidP="00000000" w:rsidRDefault="00000000" w:rsidRPr="00000000" w14:paraId="00000033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a) Regular con cursado presencial: como mínimo debe cumplir con el 75% de asistencia en cada cuatrimestre y hasta el 50% cuando las ausencias obedezcan a razones de salud, trabajo y/o se encuentren en otras situaciones excepcionales debidamente comprobadas , en su defecto tendrá través de una instancia de evaluación por cuatrimestre para alcanzar la regularidad</w:t>
      </w:r>
    </w:p>
    <w:p w:rsidR="00000000" w:rsidDel="00000000" w:rsidP="00000000" w:rsidRDefault="00000000" w:rsidRPr="00000000" w14:paraId="00000034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Trabajos Prácticos y Parciales</w:t>
      </w:r>
    </w:p>
    <w:p w:rsidR="00000000" w:rsidDel="00000000" w:rsidP="00000000" w:rsidRDefault="00000000" w:rsidRPr="00000000" w14:paraId="00000036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Será obligatorio el cumplimiento del 100% de los Trabajos Prácticos por cuatrimestre.</w:t>
      </w:r>
    </w:p>
    <w:p w:rsidR="00000000" w:rsidDel="00000000" w:rsidP="00000000" w:rsidRDefault="00000000" w:rsidRPr="00000000" w14:paraId="00000037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escala de calificación es de 1 a 10 para trabajos siendo la calificación mínima de aprobación 6, correspondiente al 60% de la evaluación realizada correctamente</w:t>
      </w:r>
    </w:p>
    <w:p w:rsidR="00000000" w:rsidDel="00000000" w:rsidP="00000000" w:rsidRDefault="00000000" w:rsidRPr="00000000" w14:paraId="00000038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aprobación final será por coloquio al finalizar el ciclo lectivo, con posibilidades de recuperar en los turnos inmediatos de diciembre y abril. </w:t>
      </w:r>
    </w:p>
    <w:p w:rsidR="00000000" w:rsidDel="00000000" w:rsidP="00000000" w:rsidRDefault="00000000" w:rsidRPr="00000000" w14:paraId="0000003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Evaluación </w:t>
      </w:r>
    </w:p>
    <w:p w:rsidR="00000000" w:rsidDel="00000000" w:rsidP="00000000" w:rsidRDefault="00000000" w:rsidRPr="00000000" w14:paraId="0000003A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Tendrá en cuenta la asistencia a clase, los trabajos prácticos indicados e instancias evaluativas.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Constante, por observación del trabajo en clases.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Procesual, a través de trabajos prácticos.</w:t>
      </w:r>
    </w:p>
    <w:p w:rsidR="00000000" w:rsidDel="00000000" w:rsidP="00000000" w:rsidRDefault="00000000" w:rsidRPr="00000000" w14:paraId="0000003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Criterios de Evaluación: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Habilidad para la búsqueda y utilización adecuada de la información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Manejo pertinente de datos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Capacidad para la integración de contenidos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Transferencia del aprendizaje construido a nuevas situaciones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Utilización de la terminología técnica específica del área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Rule="auto"/>
        <w:ind w:left="720" w:hanging="360"/>
        <w:rPr/>
      </w:pPr>
      <w:bookmarkStart w:colFirst="0" w:colLast="0" w:name="_3znysh7" w:id="3"/>
      <w:bookmarkEnd w:id="3"/>
      <w:r w:rsidDel="00000000" w:rsidR="00000000" w:rsidRPr="00000000">
        <w:rPr>
          <w:vertAlign w:val="baseline"/>
          <w:rtl w:val="0"/>
        </w:rPr>
        <w:t xml:space="preserve">Desarrollo de actitudes positivas en las relaciones interpersonales.</w:t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Bibliografía</w:t>
      </w:r>
    </w:p>
    <w:p w:rsidR="00000000" w:rsidDel="00000000" w:rsidP="00000000" w:rsidRDefault="00000000" w:rsidRPr="00000000" w14:paraId="0000004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Obligatoria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Cea D’ Ancona y M. (1999).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Metodología cuantitativa. Estrategias y técnicas de investigación social.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Madrid: Síntesis.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Denzin, N. y Lincoln, Y. (2013).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Estrategias de investigación cualitativa. Manual de Investigación cualitativa. Vol. II.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Buenos Aires: Gedisa.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Sampieri, R., Fernández Collado, C., &amp; Baptista Lucio, Pilar. (2014).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Metodología de la investigación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(6º ed.). México: Mc Graw Hill Education.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Sautu, R. (2003).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Todo es teoría. Objetivos y métodos de investigación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. Buenos Aires: Lumiere.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Sautu, R. y Boniolo, P.; Dalle, P.; Elbert, R. (2005).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Manual de metodología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 Buenos Aires: FLACSO.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Taylor, S. y Bogdan, R. (2010).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 a los métodos cualitativos de investigación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Barcelona: Paidós.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Valles, M. (1999).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Técnicas cualitativas de investigación social. Reflexión metodológica y práctica profesional.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Madrid: Síntesis.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Vasilachis de Gialdino, I. (coord.) (2006).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Estrategias de investigación cualitativa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 México: Gesida.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Wainerman, C. y Di Virgilio, M.M. (comp.) (2010).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 quehacer de la investigación educativa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 Buenos Aires: Manantial.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Wainerman, C. y Sautu, R. (comp.) (2001).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 trastienda de la investigación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 Buenos Aires: Lumiere.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Bibliografía Complementaria</w:t>
      </w:r>
    </w:p>
    <w:p w:rsidR="00000000" w:rsidDel="00000000" w:rsidP="00000000" w:rsidRDefault="00000000" w:rsidRPr="00000000" w14:paraId="00000052">
      <w:pPr>
        <w:rPr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Bertaux, D. (2011). “El enfoque biográfico: su validez metodológica, sus potencialidades”.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Sociológica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N° 56: 61-93. Disponible en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669999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http://www.revistas.unam.mx/index.php/ras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/issue/view/2402/showToc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Ferrarotti, F. (2011). “Las historias de vida como método”.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Sociológica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N° 56: 95-119. Disponible en: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669999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http://www.revistas.unam.mx/index.php/ras/issue/view/2402/showToc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Flick, U. (2007).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 a la investigación cualitativa.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Madrid: Morata.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Goetz, J. y Le Compte, M. (1988).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Etnografía y diseño cualitativo en investigación educativa.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Madrid: Morata.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Guber, R. (2011).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etnografía. Método, campo y reflexividad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Argentina: Siglo XXI.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Kornblit, A. (coord.) (2007).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Metodologías cualitativas en Ciencias Sociales. Modelos y procedimientos de análisis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Buenos Aires: Biblos.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Marradi, A.; Archenti, N. y Piovani, J. (2007).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Metodología de las Ciencias Sociales.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Buenos Aires: Emecé.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Sautu, R. (2007).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Prácticas de la investigación cuantitativa y cualitativa. Articulación entre la teoría, los métodos y las técnicas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Buenos Aires: Lumiere.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Sautu, R. (2011).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análisis de las clases sociales: teorías y metodologías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Buenos Aires: Luxemburg.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Sautu, R. (comp.) (2004).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método biográfico.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Buenos Aires: Lumiere.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Stake, R. (1999).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Investigación con estudio de casos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Madrid: Morata.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Walker, M. (2007).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Cómo escribir trabajos de investigación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(3° reimpresión). España: Gedisa.</w:t>
      </w:r>
    </w:p>
    <w:p w:rsidR="00000000" w:rsidDel="00000000" w:rsidP="00000000" w:rsidRDefault="00000000" w:rsidRPr="00000000" w14:paraId="0000005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left="3119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66">
      <w:pPr>
        <w:spacing w:after="0" w:lineRule="auto"/>
        <w:ind w:left="3119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Profesor Fernando Cuello</w:t>
      </w:r>
    </w:p>
    <w:p w:rsidR="00000000" w:rsidDel="00000000" w:rsidP="00000000" w:rsidRDefault="00000000" w:rsidRPr="00000000" w14:paraId="00000067">
      <w:pPr>
        <w:spacing w:after="0" w:lineRule="auto"/>
        <w:ind w:left="311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851" w:top="1440" w:left="1080" w:right="1080" w:header="708" w:footer="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Planificación 2024 de Prácticas de Investigación - 4º año - Prof.Biología – IES7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revistas.unam.mx/index.php/ras" TargetMode="External"/><Relationship Id="rId7" Type="http://schemas.openxmlformats.org/officeDocument/2006/relationships/hyperlink" Target="http://www.revistas.unam.mx/index.php/ras/issue/view/2402/showToc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