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07" w:rsidRDefault="008923BC" w:rsidP="00FF6207">
      <w:pPr>
        <w:spacing w:after="0" w:line="360" w:lineRule="auto"/>
        <w:contextualSpacing/>
        <w:jc w:val="right"/>
        <w:rPr>
          <w:rFonts w:ascii="Century Gothic" w:hAnsi="Century Gothi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106D7A">
        <w:rPr>
          <w:rFonts w:ascii="Century Gothic" w:hAnsi="Century Gothic" w:cs="Times New Roman"/>
          <w:b/>
          <w:i/>
          <w:sz w:val="24"/>
          <w:szCs w:val="24"/>
        </w:rPr>
        <w:t>I</w:t>
      </w:r>
      <w:r w:rsidR="00AA0022">
        <w:rPr>
          <w:rFonts w:ascii="Century Gothic" w:hAnsi="Century Gothic" w:cs="Times New Roman"/>
          <w:b/>
          <w:i/>
          <w:sz w:val="24"/>
          <w:szCs w:val="24"/>
        </w:rPr>
        <w:t xml:space="preserve">nstituto de Educación </w:t>
      </w:r>
      <w:r w:rsidR="00FF6207">
        <w:rPr>
          <w:rFonts w:ascii="Century Gothic" w:hAnsi="Century Gothic" w:cs="Times New Roman"/>
          <w:b/>
          <w:i/>
          <w:sz w:val="24"/>
          <w:szCs w:val="24"/>
        </w:rPr>
        <w:t xml:space="preserve">Superior </w:t>
      </w:r>
      <w:r w:rsidRPr="00106D7A">
        <w:rPr>
          <w:rFonts w:ascii="Century Gothic" w:hAnsi="Century Gothic" w:cs="Times New Roman"/>
          <w:b/>
          <w:i/>
          <w:sz w:val="24"/>
          <w:szCs w:val="24"/>
        </w:rPr>
        <w:t xml:space="preserve"> Nº 7</w:t>
      </w:r>
    </w:p>
    <w:p w:rsidR="008923BC" w:rsidRPr="00106D7A" w:rsidRDefault="00FF6207" w:rsidP="00FF6207">
      <w:pPr>
        <w:spacing w:after="0" w:line="360" w:lineRule="auto"/>
        <w:contextualSpacing/>
        <w:jc w:val="right"/>
        <w:rPr>
          <w:rFonts w:ascii="Century Gothic" w:hAnsi="Century Gothic" w:cs="Times New Roman"/>
          <w:b/>
          <w:i/>
          <w:sz w:val="24"/>
          <w:szCs w:val="24"/>
        </w:rPr>
      </w:pPr>
      <w:r>
        <w:rPr>
          <w:b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5A0B62DA" wp14:editId="01DC349E">
            <wp:simplePos x="0" y="0"/>
            <wp:positionH relativeFrom="margin">
              <wp:posOffset>574675</wp:posOffset>
            </wp:positionH>
            <wp:positionV relativeFrom="margin">
              <wp:posOffset>-137160</wp:posOffset>
            </wp:positionV>
            <wp:extent cx="1133475" cy="571500"/>
            <wp:effectExtent l="0" t="0" r="9525" b="0"/>
            <wp:wrapSquare wrapText="bothSides"/>
            <wp:docPr id="1" name="Imagen 1" descr="C:\Users\Flavia Lorena\Pictures\LOGO IN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via Lorena\Pictures\LOGO INSTITU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07" b="31628"/>
                    <a:stretch/>
                  </pic:blipFill>
                  <pic:spPr bwMode="auto">
                    <a:xfrm>
                      <a:off x="0" y="0"/>
                      <a:ext cx="1133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entury Gothic" w:hAnsi="Century Gothic" w:cs="Times New Roman"/>
          <w:b/>
          <w:i/>
          <w:sz w:val="24"/>
          <w:szCs w:val="24"/>
        </w:rPr>
        <w:t xml:space="preserve">                                   </w:t>
      </w:r>
      <w:r w:rsidR="008923BC" w:rsidRPr="00106D7A">
        <w:rPr>
          <w:rFonts w:ascii="Century Gothic" w:hAnsi="Century Gothic" w:cs="Times New Roman"/>
          <w:b/>
          <w:i/>
          <w:sz w:val="24"/>
          <w:szCs w:val="24"/>
        </w:rPr>
        <w:t>Brigadier Estanislao López</w:t>
      </w:r>
    </w:p>
    <w:p w:rsidR="008923BC" w:rsidRPr="00DE2EEB" w:rsidRDefault="008923BC" w:rsidP="008923B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923BC" w:rsidRPr="00DE2EEB" w:rsidRDefault="00FF6207" w:rsidP="008923B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A9E9C9C" wp14:editId="11EAE910">
                <wp:simplePos x="0" y="0"/>
                <wp:positionH relativeFrom="column">
                  <wp:posOffset>-609600</wp:posOffset>
                </wp:positionH>
                <wp:positionV relativeFrom="paragraph">
                  <wp:posOffset>8255</wp:posOffset>
                </wp:positionV>
                <wp:extent cx="6629400" cy="0"/>
                <wp:effectExtent l="0" t="19050" r="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pt,.65pt" to="47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" strokecolor="#c0504d" strokeweight="3pt">
                <v:shadow color="#622423 [1605]" opacity=".5" offset="1pt"/>
              </v:line>
            </w:pict>
          </mc:Fallback>
        </mc:AlternateContent>
      </w:r>
      <w:r w:rsidR="008923BC" w:rsidRPr="00DE2EEB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</w:p>
    <w:p w:rsidR="009F34B8" w:rsidRPr="00BE1BC3" w:rsidRDefault="00BE1BC3" w:rsidP="00BE1BC3">
      <w:pPr>
        <w:jc w:val="center"/>
        <w:rPr>
          <w:b/>
          <w:u w:val="single"/>
          <w:lang w:val="es-ES_tradnl"/>
        </w:rPr>
      </w:pPr>
      <w:r w:rsidRPr="00BE1BC3">
        <w:rPr>
          <w:b/>
          <w:u w:val="single"/>
          <w:lang w:val="es-ES_tradnl"/>
        </w:rPr>
        <w:t>Didáctica de la Biología</w:t>
      </w:r>
      <w:r>
        <w:rPr>
          <w:b/>
          <w:u w:val="single"/>
          <w:lang w:val="es-ES_tradnl"/>
        </w:rPr>
        <w:t xml:space="preserve"> I</w:t>
      </w:r>
    </w:p>
    <w:p w:rsidR="009F34B8" w:rsidRPr="00CE5CA8" w:rsidRDefault="009F34B8" w:rsidP="009F34B8">
      <w:pPr>
        <w:jc w:val="center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9F34B8" w:rsidRPr="00CE5CA8" w:rsidRDefault="009F34B8" w:rsidP="009F34B8">
      <w:pPr>
        <w:contextualSpacing/>
        <w:rPr>
          <w:rFonts w:ascii="Arial" w:hAnsi="Arial" w:cs="Arial"/>
          <w:b/>
          <w:i/>
          <w:u w:val="single"/>
          <w:lang w:val="es-ES_tradnl"/>
        </w:rPr>
      </w:pPr>
      <w:r w:rsidRPr="00CE5CA8">
        <w:rPr>
          <w:rFonts w:ascii="Arial" w:hAnsi="Arial" w:cs="Arial"/>
          <w:b/>
          <w:i/>
          <w:u w:val="single"/>
          <w:lang w:val="es-ES_tradnl"/>
        </w:rPr>
        <w:t>Profesorado:</w:t>
      </w:r>
      <w:r w:rsidRPr="00CE5CA8">
        <w:rPr>
          <w:rFonts w:ascii="Arial" w:hAnsi="Arial" w:cs="Arial"/>
          <w:lang w:val="es-ES_tradnl"/>
        </w:rPr>
        <w:t xml:space="preserve"> </w:t>
      </w:r>
      <w:r w:rsidR="00943CDF" w:rsidRPr="00CE5CA8">
        <w:rPr>
          <w:rFonts w:ascii="Arial" w:hAnsi="Arial" w:cs="Arial"/>
          <w:lang w:val="es-ES_tradnl"/>
        </w:rPr>
        <w:t>Biología</w:t>
      </w:r>
    </w:p>
    <w:p w:rsidR="009F34B8" w:rsidRDefault="009F34B8" w:rsidP="009F34B8">
      <w:pPr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b/>
          <w:i/>
          <w:u w:val="single"/>
          <w:lang w:val="es-ES_tradnl"/>
        </w:rPr>
        <w:t>Curso:</w:t>
      </w:r>
      <w:r w:rsidR="00113AF2">
        <w:rPr>
          <w:rFonts w:ascii="Arial" w:hAnsi="Arial" w:cs="Arial"/>
          <w:lang w:val="es-ES_tradnl"/>
        </w:rPr>
        <w:t xml:space="preserve"> 2do</w:t>
      </w:r>
      <w:r w:rsidRPr="00CE5CA8">
        <w:rPr>
          <w:rFonts w:ascii="Arial" w:hAnsi="Arial" w:cs="Arial"/>
          <w:lang w:val="es-ES_tradnl"/>
        </w:rPr>
        <w:t xml:space="preserve"> Año.</w:t>
      </w:r>
    </w:p>
    <w:p w:rsidR="00BE1BC3" w:rsidRPr="00CE5CA8" w:rsidRDefault="00BE1BC3" w:rsidP="009F34B8">
      <w:pPr>
        <w:contextualSpacing/>
        <w:jc w:val="both"/>
        <w:rPr>
          <w:rFonts w:ascii="Arial" w:hAnsi="Arial" w:cs="Arial"/>
          <w:lang w:val="es-ES_tradnl"/>
        </w:rPr>
      </w:pPr>
      <w:r w:rsidRPr="00BE1BC3">
        <w:rPr>
          <w:rFonts w:ascii="Arial" w:hAnsi="Arial" w:cs="Arial"/>
          <w:b/>
          <w:u w:val="single"/>
          <w:lang w:val="es-ES_tradnl"/>
        </w:rPr>
        <w:t>Formato</w:t>
      </w:r>
      <w:r>
        <w:rPr>
          <w:rFonts w:ascii="Arial" w:hAnsi="Arial" w:cs="Arial"/>
          <w:lang w:val="es-ES_tradnl"/>
        </w:rPr>
        <w:t xml:space="preserve">: materia – anual </w:t>
      </w:r>
    </w:p>
    <w:p w:rsidR="009F34B8" w:rsidRPr="00CE5CA8" w:rsidRDefault="009F34B8" w:rsidP="009F34B8">
      <w:pPr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b/>
          <w:u w:val="single"/>
          <w:lang w:val="es-ES_tradnl"/>
        </w:rPr>
        <w:t>Profesora</w:t>
      </w:r>
      <w:proofErr w:type="gramStart"/>
      <w:r w:rsidRPr="00CE5CA8">
        <w:rPr>
          <w:rFonts w:ascii="Arial" w:hAnsi="Arial" w:cs="Arial"/>
          <w:lang w:val="es-ES_tradnl"/>
        </w:rPr>
        <w:t>:  Flavia</w:t>
      </w:r>
      <w:proofErr w:type="gramEnd"/>
      <w:r w:rsidRPr="00CE5CA8">
        <w:rPr>
          <w:rFonts w:ascii="Arial" w:hAnsi="Arial" w:cs="Arial"/>
          <w:lang w:val="es-ES_tradnl"/>
        </w:rPr>
        <w:t xml:space="preserve"> Boglione.</w:t>
      </w:r>
    </w:p>
    <w:p w:rsidR="009F34B8" w:rsidRPr="00CE5CA8" w:rsidRDefault="009F34B8" w:rsidP="009F34B8">
      <w:pPr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b/>
          <w:i/>
          <w:u w:val="single"/>
          <w:lang w:val="es-ES_tradnl"/>
        </w:rPr>
        <w:t>Año Lectivo:</w:t>
      </w:r>
      <w:r w:rsidR="00A07D9D">
        <w:rPr>
          <w:rFonts w:ascii="Arial" w:hAnsi="Arial" w:cs="Arial"/>
          <w:lang w:val="es-ES_tradnl"/>
        </w:rPr>
        <w:t xml:space="preserve"> 2018</w:t>
      </w:r>
      <w:bookmarkStart w:id="0" w:name="_GoBack"/>
      <w:bookmarkEnd w:id="0"/>
    </w:p>
    <w:p w:rsidR="009F34B8" w:rsidRPr="00CE5CA8" w:rsidRDefault="009F34B8" w:rsidP="009F34B8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8923BC" w:rsidRDefault="008923BC" w:rsidP="009F34B8">
      <w:pPr>
        <w:pStyle w:val="Textoindependiente"/>
        <w:spacing w:line="360" w:lineRule="auto"/>
        <w:contextualSpacing/>
        <w:jc w:val="both"/>
        <w:rPr>
          <w:rFonts w:cs="Arial"/>
          <w:noProof/>
          <w:szCs w:val="22"/>
        </w:rPr>
      </w:pPr>
    </w:p>
    <w:p w:rsidR="00BE1BC3" w:rsidRDefault="00BE1BC3" w:rsidP="009F34B8">
      <w:pPr>
        <w:pStyle w:val="Textoindependiente"/>
        <w:spacing w:line="360" w:lineRule="auto"/>
        <w:contextualSpacing/>
        <w:jc w:val="both"/>
        <w:rPr>
          <w:rFonts w:cs="Arial"/>
          <w:noProof/>
          <w:szCs w:val="22"/>
        </w:rPr>
      </w:pPr>
    </w:p>
    <w:p w:rsidR="00BE1BC3" w:rsidRDefault="00BE1BC3" w:rsidP="00BE1BC3">
      <w:pPr>
        <w:pStyle w:val="Default"/>
      </w:pPr>
    </w:p>
    <w:p w:rsidR="00BE1BC3" w:rsidRDefault="00BE1BC3" w:rsidP="00BE1BC3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Finalidad formativa</w:t>
      </w:r>
    </w:p>
    <w:p w:rsidR="00BE1BC3" w:rsidRDefault="00BE1BC3" w:rsidP="00BE1BC3">
      <w:pPr>
        <w:pStyle w:val="Default"/>
        <w:rPr>
          <w:color w:val="auto"/>
          <w:sz w:val="22"/>
          <w:szCs w:val="22"/>
        </w:rPr>
      </w:pPr>
    </w:p>
    <w:p w:rsidR="00BE1BC3" w:rsidRDefault="00BE1BC3" w:rsidP="00BE1BC3">
      <w:pPr>
        <w:pStyle w:val="Textoindependiente"/>
        <w:spacing w:line="360" w:lineRule="auto"/>
        <w:contextualSpacing/>
        <w:jc w:val="both"/>
        <w:rPr>
          <w:rFonts w:cs="Arial"/>
          <w:noProof/>
          <w:szCs w:val="22"/>
        </w:rPr>
      </w:pPr>
      <w:r>
        <w:rPr>
          <w:szCs w:val="22"/>
        </w:rPr>
        <w:t xml:space="preserve">Didáctica de la Biología I se organiza en tres ejes vinculados, que promueven el análisis de problemáticas de enseñanza y aprendizaje de la Biología desde distintos posicionamientos teóricos y enfoques didácticos. Se espera que el/la estudiante internalice conceptos claves propios de la Didáctica en el marco de la disciplina, y que los aplique en el diseño de secuencias de enseñanza. Esta unidad curricular se complementa con Práctica Docente II: La Institución Educativa, y con Didáctica y </w:t>
      </w:r>
      <w:proofErr w:type="spellStart"/>
      <w:r>
        <w:rPr>
          <w:szCs w:val="22"/>
        </w:rPr>
        <w:t>Curriculum</w:t>
      </w:r>
      <w:proofErr w:type="spellEnd"/>
      <w:r>
        <w:rPr>
          <w:szCs w:val="22"/>
        </w:rPr>
        <w:t>, resignificando saberes y experiencias, en pos de optimizar su desempeño profesional. Además, es uno de los espacios que forma parte del Taller Integrador.</w:t>
      </w:r>
    </w:p>
    <w:p w:rsidR="00BE1BC3" w:rsidRDefault="00BE1BC3" w:rsidP="009F34B8">
      <w:pPr>
        <w:pStyle w:val="Textoindependiente"/>
        <w:spacing w:line="360" w:lineRule="auto"/>
        <w:contextualSpacing/>
        <w:jc w:val="both"/>
        <w:rPr>
          <w:rFonts w:cs="Arial"/>
          <w:noProof/>
          <w:szCs w:val="22"/>
        </w:rPr>
      </w:pPr>
    </w:p>
    <w:p w:rsidR="00BE1BC3" w:rsidRDefault="00BE1BC3" w:rsidP="00BE1BC3">
      <w:pPr>
        <w:pStyle w:val="Default"/>
      </w:pPr>
    </w:p>
    <w:p w:rsidR="00BE1BC3" w:rsidRDefault="00BE1BC3" w:rsidP="00BE1BC3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Ejes de contenido (descriptores) </w:t>
      </w:r>
    </w:p>
    <w:p w:rsidR="00BE1BC3" w:rsidRDefault="00BE1BC3" w:rsidP="00BE1BC3">
      <w:pPr>
        <w:pStyle w:val="Default"/>
        <w:rPr>
          <w:color w:val="auto"/>
          <w:sz w:val="22"/>
          <w:szCs w:val="22"/>
        </w:rPr>
      </w:pPr>
    </w:p>
    <w:p w:rsidR="00BE1BC3" w:rsidRDefault="00BE1BC3" w:rsidP="00BE1BC3">
      <w:pPr>
        <w:pStyle w:val="Default"/>
        <w:numPr>
          <w:ilvl w:val="0"/>
          <w:numId w:val="7"/>
        </w:numPr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La Didáctica de las Ciencias </w:t>
      </w:r>
    </w:p>
    <w:p w:rsidR="00BE1BC3" w:rsidRDefault="00BE1BC3" w:rsidP="00BE1BC3">
      <w:pPr>
        <w:pStyle w:val="Default"/>
        <w:rPr>
          <w:color w:val="auto"/>
          <w:sz w:val="22"/>
          <w:szCs w:val="22"/>
        </w:rPr>
      </w:pPr>
    </w:p>
    <w:p w:rsidR="00BE1BC3" w:rsidRDefault="00BE1BC3" w:rsidP="00BE1BC3">
      <w:pPr>
        <w:pStyle w:val="Textoindependiente"/>
        <w:spacing w:line="360" w:lineRule="auto"/>
        <w:contextualSpacing/>
        <w:jc w:val="both"/>
        <w:rPr>
          <w:rFonts w:cs="Arial"/>
          <w:noProof/>
          <w:szCs w:val="22"/>
        </w:rPr>
      </w:pPr>
      <w:r>
        <w:rPr>
          <w:szCs w:val="22"/>
        </w:rPr>
        <w:t>La didáctica de las Ciencias como disciplina emergente. Relaciones entre el conocimiento erudito, el conocimiento cotidiano y el conocimiento científico escolar. La construcción metodológica en las Ciencias: dimensiones teórica y práctica. La Biología dentro del Área Ciencias Naturales. Enfoque Ciencia, Tecnología, Sociedad y Ambiente. La enseñanza de la Biología y su relación con la calidad de la educación y la inclusión educativa.</w:t>
      </w:r>
    </w:p>
    <w:p w:rsidR="00BE1BC3" w:rsidRDefault="00BE1BC3" w:rsidP="00BE1BC3">
      <w:pPr>
        <w:pStyle w:val="Default"/>
      </w:pPr>
    </w:p>
    <w:p w:rsidR="00BE1BC3" w:rsidRDefault="00BE1BC3" w:rsidP="00BE1BC3">
      <w:pPr>
        <w:pStyle w:val="Default"/>
        <w:numPr>
          <w:ilvl w:val="0"/>
          <w:numId w:val="7"/>
        </w:numPr>
        <w:rPr>
          <w:i/>
          <w:iCs/>
          <w:color w:val="auto"/>
          <w:sz w:val="22"/>
          <w:szCs w:val="22"/>
        </w:rPr>
      </w:pPr>
      <w:proofErr w:type="spellStart"/>
      <w:r>
        <w:rPr>
          <w:i/>
          <w:iCs/>
          <w:color w:val="auto"/>
          <w:sz w:val="22"/>
          <w:szCs w:val="22"/>
        </w:rPr>
        <w:t>Curriculum</w:t>
      </w:r>
      <w:proofErr w:type="spellEnd"/>
      <w:r>
        <w:rPr>
          <w:i/>
          <w:iCs/>
          <w:color w:val="auto"/>
          <w:sz w:val="22"/>
          <w:szCs w:val="22"/>
        </w:rPr>
        <w:t xml:space="preserve"> en Biología </w:t>
      </w:r>
    </w:p>
    <w:p w:rsidR="00BE1BC3" w:rsidRDefault="00BE1BC3" w:rsidP="00BE1BC3">
      <w:pPr>
        <w:pStyle w:val="Default"/>
        <w:rPr>
          <w:color w:val="auto"/>
          <w:sz w:val="22"/>
          <w:szCs w:val="22"/>
        </w:rPr>
      </w:pPr>
    </w:p>
    <w:p w:rsidR="00BE1BC3" w:rsidRDefault="00BE1BC3" w:rsidP="00BE1BC3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Finalidades de la enseñanza de la Biología. Alfabetización científica. Fundamentos epistemológicos, psicológicos, pedagógico-didácticos del currículum científico para la </w:t>
      </w:r>
      <w:r>
        <w:rPr>
          <w:color w:val="auto"/>
          <w:sz w:val="22"/>
          <w:szCs w:val="22"/>
        </w:rPr>
        <w:lastRenderedPageBreak/>
        <w:t xml:space="preserve">educación secundaria obligatoria. Habilidades y competencias científicas. Niveles de concreción curricular en Biología (nacional, jurisdiccional, institucional y de aula). Componentes curriculares. Propósitos o metas de comprensión. Contenidos como objetos de enseñanza. Procesos de selección y secuenciación de contenidos. Conceptos estructurantes de las Ciencias, ideas básicas e hipótesis de progresión en los documentos curriculares de Biología. </w:t>
      </w:r>
    </w:p>
    <w:p w:rsidR="00BE1BC3" w:rsidRDefault="00BE1BC3" w:rsidP="00BE1BC3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BE1BC3" w:rsidRDefault="00BE1BC3" w:rsidP="00BE1BC3">
      <w:pPr>
        <w:pStyle w:val="Default"/>
        <w:rPr>
          <w:i/>
          <w:iCs/>
          <w:color w:val="auto"/>
          <w:sz w:val="22"/>
          <w:szCs w:val="22"/>
        </w:rPr>
      </w:pPr>
    </w:p>
    <w:p w:rsidR="00BE1BC3" w:rsidRDefault="00BE1BC3" w:rsidP="00BE1BC3">
      <w:pPr>
        <w:pStyle w:val="Default"/>
        <w:numPr>
          <w:ilvl w:val="0"/>
          <w:numId w:val="7"/>
        </w:numPr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La Enseñanza de la Biología </w:t>
      </w:r>
    </w:p>
    <w:p w:rsidR="00BE1BC3" w:rsidRDefault="00BE1BC3" w:rsidP="00BE1BC3">
      <w:pPr>
        <w:pStyle w:val="Default"/>
        <w:rPr>
          <w:color w:val="auto"/>
          <w:sz w:val="22"/>
          <w:szCs w:val="22"/>
        </w:rPr>
      </w:pPr>
    </w:p>
    <w:p w:rsidR="00BE1BC3" w:rsidRDefault="00BE1BC3" w:rsidP="00BE1BC3">
      <w:pPr>
        <w:pStyle w:val="Textoindependiente"/>
        <w:spacing w:line="360" w:lineRule="auto"/>
        <w:contextualSpacing/>
        <w:jc w:val="both"/>
        <w:rPr>
          <w:rFonts w:cs="Arial"/>
          <w:noProof/>
          <w:szCs w:val="22"/>
        </w:rPr>
      </w:pPr>
      <w:r>
        <w:rPr>
          <w:szCs w:val="22"/>
        </w:rPr>
        <w:t>Modelos didácticos: enseñanza tradicional, aprendizaje por descubrimiento (espontáneo y orientado) y modelos alternativos. El rol docente, el rol del estudiante y el papel de las actividades en la enseñanza de las Ciencias. Componentes de la planificación. Selección y secuenciación de actividades. Recursos didácticos para las clases de Biología: laboratorio escolar, tecnologías de la información y la comunicación (TIC), libros de texto. Dimensiones de la evaluación en Biología: concepción, procesos y situaciones. Técnicas e instrumentos de evaluación.</w:t>
      </w:r>
    </w:p>
    <w:p w:rsidR="00BE1BC3" w:rsidRPr="00CE5CA8" w:rsidRDefault="00BE1BC3" w:rsidP="009F34B8">
      <w:pPr>
        <w:pStyle w:val="Textoindependiente"/>
        <w:spacing w:line="360" w:lineRule="auto"/>
        <w:contextualSpacing/>
        <w:jc w:val="both"/>
        <w:rPr>
          <w:rFonts w:cs="Arial"/>
          <w:noProof/>
          <w:szCs w:val="22"/>
        </w:rPr>
      </w:pPr>
    </w:p>
    <w:p w:rsidR="008923BC" w:rsidRPr="008923BC" w:rsidRDefault="008923BC" w:rsidP="008923BC">
      <w:pPr>
        <w:spacing w:after="0" w:line="240" w:lineRule="auto"/>
        <w:ind w:firstLine="284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923BC">
        <w:rPr>
          <w:rFonts w:ascii="Arial" w:hAnsi="Arial" w:cs="Arial"/>
          <w:b/>
          <w:sz w:val="24"/>
          <w:szCs w:val="24"/>
        </w:rPr>
        <w:t>Propósitos:</w:t>
      </w:r>
    </w:p>
    <w:p w:rsidR="008923BC" w:rsidRPr="008923BC" w:rsidRDefault="008923BC" w:rsidP="008923BC">
      <w:pPr>
        <w:spacing w:after="0" w:line="240" w:lineRule="auto"/>
        <w:ind w:firstLine="284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8923BC" w:rsidRPr="008923BC" w:rsidRDefault="008923BC" w:rsidP="006A420D">
      <w:pPr>
        <w:numPr>
          <w:ilvl w:val="0"/>
          <w:numId w:val="6"/>
        </w:numPr>
        <w:spacing w:after="120" w:line="240" w:lineRule="auto"/>
        <w:ind w:left="1003" w:hanging="357"/>
        <w:jc w:val="both"/>
        <w:rPr>
          <w:rFonts w:ascii="Arial" w:hAnsi="Arial" w:cs="Arial"/>
        </w:rPr>
      </w:pPr>
      <w:r w:rsidRPr="008923BC">
        <w:rPr>
          <w:rFonts w:ascii="Arial" w:hAnsi="Arial" w:cs="Arial"/>
        </w:rPr>
        <w:t xml:space="preserve">Favorecer </w:t>
      </w:r>
      <w:r w:rsidRPr="006A420D">
        <w:rPr>
          <w:rFonts w:ascii="Arial" w:hAnsi="Arial" w:cs="Arial"/>
        </w:rPr>
        <w:t xml:space="preserve">la apropiación de </w:t>
      </w:r>
      <w:r w:rsidR="00C17EAA">
        <w:rPr>
          <w:rFonts w:ascii="Arial" w:hAnsi="Arial" w:cs="Arial"/>
        </w:rPr>
        <w:t xml:space="preserve">conceptos básicos del campo de la Didáctica de las Ciencias Naturales poniendo en juego un enfoque actualizado para desempeñarse en diversas situaciones propias del campo de las prácticas de enseñanza. </w:t>
      </w:r>
    </w:p>
    <w:p w:rsidR="008923BC" w:rsidRPr="008923BC" w:rsidRDefault="00C17EAA" w:rsidP="006A420D">
      <w:pPr>
        <w:numPr>
          <w:ilvl w:val="0"/>
          <w:numId w:val="6"/>
        </w:numPr>
        <w:spacing w:after="120" w:line="240" w:lineRule="auto"/>
        <w:ind w:left="100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Brindar herramientas que permitan el diseño de estrategias de enseñanza específicas del área en el marco de la planificación de secuencias de enseñanza. </w:t>
      </w:r>
    </w:p>
    <w:p w:rsidR="008923BC" w:rsidRPr="006A420D" w:rsidRDefault="008923BC" w:rsidP="009F34B8">
      <w:pPr>
        <w:pStyle w:val="Textoindependiente"/>
        <w:spacing w:line="360" w:lineRule="auto"/>
        <w:contextualSpacing/>
        <w:jc w:val="both"/>
        <w:rPr>
          <w:rFonts w:cs="Arial"/>
          <w:noProof/>
          <w:szCs w:val="22"/>
        </w:rPr>
      </w:pPr>
    </w:p>
    <w:p w:rsidR="00CA2F86" w:rsidRPr="00CE5CA8" w:rsidRDefault="00CA2F86" w:rsidP="00CA2F86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CE5CA8">
        <w:rPr>
          <w:rFonts w:ascii="Arial" w:hAnsi="Arial" w:cs="Arial"/>
          <w:b/>
          <w:lang w:val="es-ES_tradnl"/>
        </w:rPr>
        <w:t>Saberes previos:</w:t>
      </w:r>
    </w:p>
    <w:p w:rsidR="00CA2F86" w:rsidRPr="00CE5CA8" w:rsidRDefault="00CA2F86" w:rsidP="00CA2F86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lang w:val="es-ES_tradnl"/>
        </w:rPr>
        <w:t xml:space="preserve">Conocimientos básicos sobre: </w:t>
      </w:r>
    </w:p>
    <w:p w:rsidR="00CA2F86" w:rsidRDefault="00CA2F86" w:rsidP="00C17EAA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lang w:val="es-ES_tradnl"/>
        </w:rPr>
        <w:t>-</w:t>
      </w:r>
      <w:r w:rsidR="00C17EAA">
        <w:rPr>
          <w:rFonts w:ascii="Arial" w:hAnsi="Arial" w:cs="Arial"/>
          <w:lang w:val="es-ES_tradnl"/>
        </w:rPr>
        <w:t>Ciencias</w:t>
      </w:r>
    </w:p>
    <w:p w:rsidR="00C17EAA" w:rsidRDefault="00C17EAA" w:rsidP="00C17EAA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-Didáctica y pedagogía</w:t>
      </w:r>
    </w:p>
    <w:p w:rsidR="00C17EAA" w:rsidRPr="00CE5CA8" w:rsidRDefault="00C17EAA" w:rsidP="00C17EAA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CA2F86" w:rsidRPr="00CE5CA8" w:rsidRDefault="00CA2F86" w:rsidP="00CA2F86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CA2F86" w:rsidRPr="00CE5CA8" w:rsidRDefault="00CA2F86" w:rsidP="00CA2F86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9F34B8" w:rsidRPr="00CE5CA8" w:rsidRDefault="009F34B8" w:rsidP="009F34B8">
      <w:pPr>
        <w:spacing w:line="360" w:lineRule="auto"/>
        <w:contextualSpacing/>
        <w:rPr>
          <w:rFonts w:ascii="Arial" w:hAnsi="Arial" w:cs="Arial"/>
          <w:b/>
          <w:i/>
          <w:lang w:val="es-ES_tradnl"/>
        </w:rPr>
      </w:pPr>
    </w:p>
    <w:p w:rsidR="00927C28" w:rsidRPr="00CE5CA8" w:rsidRDefault="00927C28" w:rsidP="00927C28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CE5CA8">
        <w:rPr>
          <w:rFonts w:ascii="Arial" w:hAnsi="Arial" w:cs="Arial"/>
          <w:b/>
          <w:i/>
          <w:sz w:val="24"/>
          <w:szCs w:val="24"/>
        </w:rPr>
        <w:t>Uso de las TIC en el espacio curricular:</w:t>
      </w:r>
    </w:p>
    <w:p w:rsidR="00927C28" w:rsidRPr="00CE5CA8" w:rsidRDefault="00927C28" w:rsidP="00927C28">
      <w:pPr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CE5CA8">
        <w:rPr>
          <w:rFonts w:ascii="Arial" w:hAnsi="Arial" w:cs="Arial"/>
          <w:i/>
          <w:sz w:val="24"/>
          <w:szCs w:val="24"/>
        </w:rPr>
        <w:t xml:space="preserve">Manejo de programas básicos para la edición de textos, de imagen, digitalización de textos y videos para enriquecer el registro de información y la elaboración de informes y trabajos prácticos. </w:t>
      </w:r>
    </w:p>
    <w:p w:rsidR="00927C28" w:rsidRPr="00CE5CA8" w:rsidRDefault="00927C28" w:rsidP="00927C28">
      <w:pPr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CE5CA8">
        <w:rPr>
          <w:rFonts w:ascii="Arial" w:hAnsi="Arial" w:cs="Arial"/>
          <w:i/>
          <w:sz w:val="24"/>
          <w:szCs w:val="24"/>
        </w:rPr>
        <w:t xml:space="preserve">Utilización de programas que permitan realizar presentaciones pertinentes sobre diversos contenidos para comunicar la información. </w:t>
      </w:r>
    </w:p>
    <w:p w:rsidR="00927C28" w:rsidRPr="00CE5CA8" w:rsidRDefault="00927C28" w:rsidP="009F34B8">
      <w:pPr>
        <w:spacing w:line="360" w:lineRule="auto"/>
        <w:contextualSpacing/>
        <w:rPr>
          <w:rFonts w:ascii="Arial" w:hAnsi="Arial" w:cs="Arial"/>
          <w:b/>
          <w:i/>
          <w:lang w:val="es-ES_tradnl"/>
        </w:rPr>
      </w:pPr>
    </w:p>
    <w:p w:rsidR="00927C28" w:rsidRPr="00CE5CA8" w:rsidRDefault="00927C28" w:rsidP="009F34B8">
      <w:pPr>
        <w:spacing w:line="360" w:lineRule="auto"/>
        <w:contextualSpacing/>
        <w:rPr>
          <w:rFonts w:ascii="Arial" w:hAnsi="Arial" w:cs="Arial"/>
          <w:b/>
          <w:i/>
          <w:lang w:val="es-ES_tradnl"/>
        </w:rPr>
      </w:pPr>
    </w:p>
    <w:p w:rsidR="00927C28" w:rsidRPr="00CE5CA8" w:rsidRDefault="00927C28" w:rsidP="009F34B8">
      <w:pPr>
        <w:spacing w:line="360" w:lineRule="auto"/>
        <w:contextualSpacing/>
        <w:rPr>
          <w:rFonts w:ascii="Arial" w:hAnsi="Arial" w:cs="Arial"/>
          <w:b/>
          <w:i/>
          <w:lang w:val="es-ES_tradnl"/>
        </w:rPr>
      </w:pPr>
    </w:p>
    <w:p w:rsidR="0022416E" w:rsidRPr="00CE5CA8" w:rsidRDefault="0022416E" w:rsidP="009F34B8">
      <w:pPr>
        <w:spacing w:line="360" w:lineRule="auto"/>
        <w:contextualSpacing/>
        <w:jc w:val="both"/>
        <w:rPr>
          <w:rFonts w:ascii="Arial" w:hAnsi="Arial" w:cs="Arial"/>
          <w:lang w:val="es-AR"/>
        </w:rPr>
      </w:pPr>
    </w:p>
    <w:p w:rsidR="0095761B" w:rsidRPr="0095761B" w:rsidRDefault="009F34B8" w:rsidP="009F34B8">
      <w:pPr>
        <w:spacing w:line="360" w:lineRule="auto"/>
        <w:contextualSpacing/>
        <w:jc w:val="both"/>
        <w:rPr>
          <w:rFonts w:ascii="Arial" w:hAnsi="Arial" w:cs="Arial"/>
          <w:b/>
          <w:lang w:val="es-ES_tradnl"/>
        </w:rPr>
      </w:pPr>
      <w:r w:rsidRPr="00CE5CA8">
        <w:rPr>
          <w:rFonts w:ascii="Arial" w:hAnsi="Arial" w:cs="Arial"/>
          <w:b/>
          <w:lang w:val="es-ES_tradnl"/>
        </w:rPr>
        <w:t>METODOLOGÍA.</w:t>
      </w:r>
    </w:p>
    <w:p w:rsidR="0095761B" w:rsidRDefault="0095761B" w:rsidP="009F34B8">
      <w:pPr>
        <w:spacing w:line="360" w:lineRule="auto"/>
        <w:contextualSpacing/>
        <w:jc w:val="both"/>
        <w:rPr>
          <w:rFonts w:ascii="Arial" w:hAnsi="Arial" w:cs="Arial"/>
          <w:lang w:val="es-ES_tradnl"/>
        </w:rPr>
      </w:pP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lang w:val="es-ES_tradnl"/>
        </w:rPr>
        <w:t>Lectura e interpretación de textos académicos y de divulgación científica.</w:t>
      </w: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lang w:val="es-ES_tradnl"/>
        </w:rPr>
        <w:t>Participación en espacios de debate.</w:t>
      </w: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lang w:val="es-ES_tradnl"/>
        </w:rPr>
        <w:t>Elaboración de trabajos prácticos con la utilización de distintos recursos tecnológ</w:t>
      </w:r>
      <w:r w:rsidR="0095761B">
        <w:rPr>
          <w:rFonts w:ascii="Arial" w:hAnsi="Arial" w:cs="Arial"/>
          <w:lang w:val="es-ES_tradnl"/>
        </w:rPr>
        <w:t xml:space="preserve">icos (presentaciones, </w:t>
      </w:r>
      <w:r w:rsidRPr="00CE5CA8">
        <w:rPr>
          <w:rFonts w:ascii="Arial" w:hAnsi="Arial" w:cs="Arial"/>
          <w:lang w:val="es-ES_tradnl"/>
        </w:rPr>
        <w:t>entre otros).</w:t>
      </w:r>
    </w:p>
    <w:p w:rsidR="009F34B8" w:rsidRPr="00CE5CA8" w:rsidRDefault="009F34B8" w:rsidP="0095761B">
      <w:p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lang w:val="es-ES_tradnl"/>
        </w:rPr>
        <w:t xml:space="preserve">Análisis </w:t>
      </w:r>
      <w:r w:rsidR="0095761B">
        <w:rPr>
          <w:rFonts w:ascii="Arial" w:hAnsi="Arial" w:cs="Arial"/>
          <w:lang w:val="es-ES_tradnl"/>
        </w:rPr>
        <w:t xml:space="preserve">de recursos. </w:t>
      </w:r>
    </w:p>
    <w:p w:rsidR="009F34B8" w:rsidRPr="00CE5CA8" w:rsidRDefault="009F34B8" w:rsidP="009F34B8">
      <w:pPr>
        <w:spacing w:line="360" w:lineRule="auto"/>
        <w:ind w:firstLine="284"/>
        <w:contextualSpacing/>
        <w:jc w:val="both"/>
        <w:rPr>
          <w:rFonts w:ascii="Arial" w:hAnsi="Arial" w:cs="Arial"/>
          <w:b/>
          <w:lang w:val="es-ES_tradnl"/>
        </w:rPr>
      </w:pPr>
    </w:p>
    <w:p w:rsidR="009F34B8" w:rsidRPr="00CE5CA8" w:rsidRDefault="009F34B8" w:rsidP="009F34B8">
      <w:pPr>
        <w:spacing w:line="360" w:lineRule="auto"/>
        <w:ind w:firstLine="284"/>
        <w:contextualSpacing/>
        <w:jc w:val="both"/>
        <w:rPr>
          <w:rFonts w:ascii="Arial" w:hAnsi="Arial" w:cs="Arial"/>
          <w:b/>
          <w:lang w:val="es-ES_tradnl"/>
        </w:rPr>
      </w:pP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b/>
          <w:lang w:val="es-ES_tradnl"/>
        </w:rPr>
      </w:pPr>
      <w:r w:rsidRPr="00CE5CA8">
        <w:rPr>
          <w:rFonts w:ascii="Arial" w:hAnsi="Arial" w:cs="Arial"/>
          <w:b/>
          <w:lang w:val="es-ES_tradnl"/>
        </w:rPr>
        <w:t>EVALUACION</w:t>
      </w:r>
    </w:p>
    <w:p w:rsidR="009F34B8" w:rsidRPr="00CE5CA8" w:rsidRDefault="009F34B8" w:rsidP="009F34B8">
      <w:pPr>
        <w:spacing w:line="360" w:lineRule="auto"/>
        <w:ind w:firstLine="284"/>
        <w:contextualSpacing/>
        <w:jc w:val="both"/>
        <w:rPr>
          <w:rFonts w:ascii="Arial" w:hAnsi="Arial" w:cs="Arial"/>
          <w:lang w:val="es-ES_tradnl"/>
        </w:rPr>
      </w:pP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lang w:val="es-ES_tradnl"/>
        </w:rPr>
        <w:t xml:space="preserve">La evaluación de la cátedra se realizará a través de la entrega de los trabajos solicitados,  y la aprobación de la totalidad de los exámenes escritos que se propusieran.  </w:t>
      </w:r>
    </w:p>
    <w:p w:rsidR="00F1194B" w:rsidRPr="00CE5CA8" w:rsidRDefault="00F1194B" w:rsidP="009F34B8">
      <w:pPr>
        <w:spacing w:line="360" w:lineRule="auto"/>
        <w:contextualSpacing/>
        <w:jc w:val="both"/>
        <w:rPr>
          <w:rFonts w:ascii="Arial" w:hAnsi="Arial" w:cs="Arial"/>
          <w:u w:val="single"/>
          <w:lang w:val="es-ES_tradnl"/>
        </w:rPr>
      </w:pPr>
    </w:p>
    <w:p w:rsidR="008E3CC1" w:rsidRPr="00CE5CA8" w:rsidRDefault="008E3CC1" w:rsidP="009F34B8">
      <w:pPr>
        <w:spacing w:line="360" w:lineRule="auto"/>
        <w:contextualSpacing/>
        <w:jc w:val="both"/>
        <w:rPr>
          <w:rFonts w:ascii="Arial" w:hAnsi="Arial" w:cs="Arial"/>
          <w:u w:val="single"/>
          <w:lang w:val="es-ES_tradnl"/>
        </w:rPr>
      </w:pPr>
      <w:r w:rsidRPr="00CE5CA8">
        <w:rPr>
          <w:rFonts w:ascii="Arial" w:hAnsi="Arial" w:cs="Arial"/>
          <w:u w:val="single"/>
          <w:lang w:val="es-ES_tradnl"/>
        </w:rPr>
        <w:t>Criterios de evaluación:</w:t>
      </w:r>
    </w:p>
    <w:p w:rsidR="008E3CC1" w:rsidRPr="00CE5CA8" w:rsidRDefault="008E3CC1" w:rsidP="002710C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E5CA8">
        <w:rPr>
          <w:rFonts w:ascii="Arial" w:hAnsi="Arial" w:cs="Arial"/>
        </w:rPr>
        <w:t>Dominio de los contenidos, procedimientos y actitude</w:t>
      </w:r>
      <w:r w:rsidR="0095761B">
        <w:rPr>
          <w:rFonts w:ascii="Arial" w:hAnsi="Arial" w:cs="Arial"/>
        </w:rPr>
        <w:t xml:space="preserve">s básicos del campo de la Didáctica de las Ciencias. </w:t>
      </w:r>
    </w:p>
    <w:p w:rsidR="008E3CC1" w:rsidRPr="00CE5CA8" w:rsidRDefault="008E3CC1" w:rsidP="002710C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E5CA8">
        <w:rPr>
          <w:rFonts w:ascii="Arial" w:hAnsi="Arial" w:cs="Arial"/>
        </w:rPr>
        <w:t xml:space="preserve">Pertinencia en la elaboración de </w:t>
      </w:r>
      <w:r w:rsidR="00513568" w:rsidRPr="00CE5CA8">
        <w:rPr>
          <w:rFonts w:ascii="Arial" w:hAnsi="Arial" w:cs="Arial"/>
        </w:rPr>
        <w:t>estrategias didácticas para abordar los contenidos del área en el nivel en el cual se desempeñarán los futuros docentes.</w:t>
      </w:r>
    </w:p>
    <w:p w:rsidR="008E3CC1" w:rsidRPr="00CE5CA8" w:rsidRDefault="008E3CC1" w:rsidP="009F34B8">
      <w:pPr>
        <w:spacing w:line="360" w:lineRule="auto"/>
        <w:contextualSpacing/>
        <w:jc w:val="both"/>
        <w:rPr>
          <w:rFonts w:ascii="Arial" w:hAnsi="Arial" w:cs="Arial"/>
        </w:rPr>
      </w:pPr>
    </w:p>
    <w:p w:rsidR="009F34B8" w:rsidRPr="00CE5CA8" w:rsidRDefault="009F34B8" w:rsidP="009F34B8">
      <w:pPr>
        <w:spacing w:line="360" w:lineRule="auto"/>
        <w:ind w:firstLine="284"/>
        <w:contextualSpacing/>
        <w:jc w:val="both"/>
        <w:rPr>
          <w:rFonts w:ascii="Arial" w:hAnsi="Arial" w:cs="Arial"/>
          <w:lang w:val="es-ES_tradnl"/>
        </w:rPr>
      </w:pP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b/>
          <w:lang w:val="es-ES_tradnl"/>
        </w:rPr>
      </w:pPr>
      <w:r w:rsidRPr="00CE5CA8">
        <w:rPr>
          <w:rFonts w:ascii="Arial" w:hAnsi="Arial" w:cs="Arial"/>
          <w:b/>
          <w:lang w:val="es-ES_tradnl"/>
        </w:rPr>
        <w:t>Condiciones de regularización del espacio.</w:t>
      </w: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lang w:val="es-ES_tradnl"/>
        </w:rPr>
        <w:t>Asistencia correspondiente al régimen de cursado.</w:t>
      </w: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lang w:val="es-ES_tradnl"/>
        </w:rPr>
        <w:t>Aprobación de trabajos prácticos.</w:t>
      </w: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lang w:val="es-ES_tradnl"/>
        </w:rPr>
        <w:t>Aprobación de exámenes parciales.</w:t>
      </w: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lang w:val="es-ES_tradnl"/>
        </w:rPr>
      </w:pP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b/>
          <w:lang w:val="es-ES_tradnl"/>
        </w:rPr>
      </w:pPr>
      <w:r w:rsidRPr="00CE5CA8">
        <w:rPr>
          <w:rFonts w:ascii="Arial" w:hAnsi="Arial" w:cs="Arial"/>
          <w:b/>
          <w:lang w:val="es-ES_tradnl"/>
        </w:rPr>
        <w:t>Aprobación del espacio:</w:t>
      </w: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 w:rsidRPr="00CE5CA8">
        <w:rPr>
          <w:rFonts w:ascii="Arial" w:hAnsi="Arial" w:cs="Arial"/>
          <w:lang w:val="es-ES_tradnl"/>
        </w:rPr>
        <w:t>Se considera aprobado este espacio después de haber reunido la condición de regular y haber rendido y aprobado el examen final en las instancias correspondientes.</w:t>
      </w: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lang w:val="es-AR"/>
        </w:rPr>
      </w:pP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lang w:val="es-AR"/>
        </w:rPr>
      </w:pPr>
    </w:p>
    <w:p w:rsidR="009F34B8" w:rsidRPr="00CE5CA8" w:rsidRDefault="009F34B8" w:rsidP="009F34B8">
      <w:pPr>
        <w:spacing w:line="360" w:lineRule="auto"/>
        <w:contextualSpacing/>
        <w:jc w:val="both"/>
        <w:rPr>
          <w:rFonts w:ascii="Arial" w:hAnsi="Arial" w:cs="Arial"/>
          <w:u w:val="single"/>
          <w:lang w:val="es-ES_tradnl"/>
        </w:rPr>
      </w:pPr>
    </w:p>
    <w:p w:rsidR="009F34B8" w:rsidRDefault="009F34B8" w:rsidP="009F34B8">
      <w:pPr>
        <w:spacing w:line="360" w:lineRule="auto"/>
        <w:contextualSpacing/>
        <w:jc w:val="both"/>
        <w:rPr>
          <w:rFonts w:ascii="Arial" w:hAnsi="Arial" w:cs="Arial"/>
          <w:b/>
          <w:lang w:val="es-ES_tradnl"/>
        </w:rPr>
      </w:pPr>
      <w:r w:rsidRPr="00CE5CA8">
        <w:rPr>
          <w:rFonts w:ascii="Arial" w:hAnsi="Arial" w:cs="Arial"/>
          <w:b/>
          <w:u w:val="single"/>
          <w:lang w:val="es-ES_tradnl"/>
        </w:rPr>
        <w:t>Bibliografía</w:t>
      </w:r>
      <w:r w:rsidRPr="00CE5CA8">
        <w:rPr>
          <w:rFonts w:ascii="Arial" w:hAnsi="Arial" w:cs="Arial"/>
          <w:b/>
          <w:lang w:val="es-ES_tradnl"/>
        </w:rPr>
        <w:t>:</w:t>
      </w:r>
    </w:p>
    <w:p w:rsidR="00C17EAA" w:rsidRDefault="00C17EAA" w:rsidP="00C17EAA">
      <w:pPr>
        <w:pStyle w:val="Default"/>
      </w:pP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Cañal de León, P. (</w:t>
      </w:r>
      <w:proofErr w:type="spellStart"/>
      <w:r>
        <w:rPr>
          <w:color w:val="auto"/>
          <w:sz w:val="22"/>
          <w:szCs w:val="22"/>
        </w:rPr>
        <w:t>comp.</w:t>
      </w:r>
      <w:proofErr w:type="spellEnd"/>
      <w:r>
        <w:rPr>
          <w:color w:val="auto"/>
          <w:sz w:val="22"/>
          <w:szCs w:val="22"/>
        </w:rPr>
        <w:t xml:space="preserve">). (2011). </w:t>
      </w:r>
      <w:r>
        <w:rPr>
          <w:i/>
          <w:iCs/>
          <w:color w:val="auto"/>
          <w:sz w:val="22"/>
          <w:szCs w:val="22"/>
        </w:rPr>
        <w:t>Didáctica de la Biología y la Geología</w:t>
      </w:r>
      <w:r>
        <w:rPr>
          <w:color w:val="auto"/>
          <w:sz w:val="22"/>
          <w:szCs w:val="22"/>
        </w:rPr>
        <w:t xml:space="preserve">. España: </w:t>
      </w:r>
      <w:proofErr w:type="spellStart"/>
      <w:r>
        <w:rPr>
          <w:color w:val="auto"/>
          <w:sz w:val="22"/>
          <w:szCs w:val="22"/>
        </w:rPr>
        <w:t>Graó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Cubo de Severino, L. (coord.) (2005). </w:t>
      </w:r>
      <w:r>
        <w:rPr>
          <w:i/>
          <w:iCs/>
          <w:color w:val="auto"/>
          <w:sz w:val="22"/>
          <w:szCs w:val="22"/>
        </w:rPr>
        <w:t xml:space="preserve">Los textos de la ciencia. Principales clases del discurso científico </w:t>
      </w:r>
      <w:r>
        <w:rPr>
          <w:color w:val="auto"/>
          <w:sz w:val="22"/>
          <w:szCs w:val="22"/>
        </w:rPr>
        <w:t xml:space="preserve">(1° edición). Córdoba: </w:t>
      </w:r>
      <w:proofErr w:type="spellStart"/>
      <w:r>
        <w:rPr>
          <w:color w:val="auto"/>
          <w:sz w:val="22"/>
          <w:szCs w:val="22"/>
        </w:rPr>
        <w:t>Comunic</w:t>
      </w:r>
      <w:proofErr w:type="spellEnd"/>
      <w:r>
        <w:rPr>
          <w:color w:val="auto"/>
          <w:sz w:val="22"/>
          <w:szCs w:val="22"/>
        </w:rPr>
        <w:t xml:space="preserve">-arte. </w:t>
      </w: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Furman</w:t>
      </w:r>
      <w:proofErr w:type="spellEnd"/>
      <w:r>
        <w:rPr>
          <w:color w:val="auto"/>
          <w:sz w:val="22"/>
          <w:szCs w:val="22"/>
        </w:rPr>
        <w:t xml:space="preserve">, M. y De Podestá, M.E. (2009). </w:t>
      </w:r>
      <w:r>
        <w:rPr>
          <w:i/>
          <w:iCs/>
          <w:color w:val="auto"/>
          <w:sz w:val="22"/>
          <w:szCs w:val="22"/>
        </w:rPr>
        <w:t xml:space="preserve">La aventura de enseñar Ciencias Naturales </w:t>
      </w:r>
      <w:r>
        <w:rPr>
          <w:color w:val="auto"/>
          <w:sz w:val="22"/>
          <w:szCs w:val="22"/>
        </w:rPr>
        <w:t xml:space="preserve">(1° edición) Buenos Aires: </w:t>
      </w:r>
      <w:proofErr w:type="spellStart"/>
      <w:r>
        <w:rPr>
          <w:color w:val="auto"/>
          <w:sz w:val="22"/>
          <w:szCs w:val="22"/>
        </w:rPr>
        <w:t>Aique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Gellon</w:t>
      </w:r>
      <w:proofErr w:type="spellEnd"/>
      <w:r>
        <w:rPr>
          <w:color w:val="auto"/>
          <w:sz w:val="22"/>
          <w:szCs w:val="22"/>
        </w:rPr>
        <w:t xml:space="preserve">, G.; </w:t>
      </w:r>
      <w:proofErr w:type="spellStart"/>
      <w:r>
        <w:rPr>
          <w:color w:val="auto"/>
          <w:sz w:val="22"/>
          <w:szCs w:val="22"/>
        </w:rPr>
        <w:t>Rosenvasser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Feher</w:t>
      </w:r>
      <w:proofErr w:type="spellEnd"/>
      <w:r>
        <w:rPr>
          <w:color w:val="auto"/>
          <w:sz w:val="22"/>
          <w:szCs w:val="22"/>
        </w:rPr>
        <w:t xml:space="preserve">, E.; </w:t>
      </w:r>
      <w:proofErr w:type="spellStart"/>
      <w:r>
        <w:rPr>
          <w:color w:val="auto"/>
          <w:sz w:val="22"/>
          <w:szCs w:val="22"/>
        </w:rPr>
        <w:t>Furman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M.y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Golombek</w:t>
      </w:r>
      <w:proofErr w:type="spellEnd"/>
      <w:r>
        <w:rPr>
          <w:color w:val="auto"/>
          <w:sz w:val="22"/>
          <w:szCs w:val="22"/>
        </w:rPr>
        <w:t xml:space="preserve">, D. (2005). </w:t>
      </w:r>
      <w:r>
        <w:rPr>
          <w:i/>
          <w:iCs/>
          <w:color w:val="auto"/>
          <w:sz w:val="22"/>
          <w:szCs w:val="22"/>
        </w:rPr>
        <w:t xml:space="preserve">La ciencia en el aula: lo que nos dice la ciencia sobre cómo enseñarla </w:t>
      </w:r>
      <w:r>
        <w:rPr>
          <w:color w:val="auto"/>
          <w:sz w:val="22"/>
          <w:szCs w:val="22"/>
        </w:rPr>
        <w:t xml:space="preserve">(1° edición). Buenos Aires: Paidós. </w:t>
      </w: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Gil </w:t>
      </w:r>
      <w:proofErr w:type="spellStart"/>
      <w:r>
        <w:rPr>
          <w:color w:val="auto"/>
          <w:sz w:val="22"/>
          <w:szCs w:val="22"/>
        </w:rPr>
        <w:t>Perez</w:t>
      </w:r>
      <w:proofErr w:type="spellEnd"/>
      <w:r>
        <w:rPr>
          <w:color w:val="auto"/>
          <w:sz w:val="22"/>
          <w:szCs w:val="22"/>
        </w:rPr>
        <w:t xml:space="preserve">, D. (edit.). (2005) </w:t>
      </w:r>
      <w:r>
        <w:rPr>
          <w:i/>
          <w:iCs/>
          <w:color w:val="auto"/>
          <w:sz w:val="22"/>
          <w:szCs w:val="22"/>
        </w:rPr>
        <w:t xml:space="preserve">¿Cómo promover el interés por la cultura científica? Una propuesta didáctica fundamentada para la educación científica de jóvenes de 15 a 18 años. </w:t>
      </w:r>
      <w:r>
        <w:rPr>
          <w:color w:val="auto"/>
          <w:sz w:val="22"/>
          <w:szCs w:val="22"/>
        </w:rPr>
        <w:t xml:space="preserve">Santiago, Chile, UNESCO. Disponible en: http://unesdoc.unesco.org/images /0013/001390/139003S.pdf </w:t>
      </w: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Jimenez</w:t>
      </w:r>
      <w:proofErr w:type="spellEnd"/>
      <w:r>
        <w:rPr>
          <w:color w:val="auto"/>
          <w:sz w:val="22"/>
          <w:szCs w:val="22"/>
        </w:rPr>
        <w:t xml:space="preserve"> Aleixandre, M.P. (2003). </w:t>
      </w:r>
      <w:r>
        <w:rPr>
          <w:i/>
          <w:iCs/>
          <w:color w:val="auto"/>
          <w:sz w:val="22"/>
          <w:szCs w:val="22"/>
        </w:rPr>
        <w:t>Enseñar ciencias</w:t>
      </w:r>
      <w:r>
        <w:rPr>
          <w:color w:val="auto"/>
          <w:sz w:val="22"/>
          <w:szCs w:val="22"/>
        </w:rPr>
        <w:t xml:space="preserve">. Barcelona: </w:t>
      </w:r>
      <w:proofErr w:type="spellStart"/>
      <w:r>
        <w:rPr>
          <w:color w:val="auto"/>
          <w:sz w:val="22"/>
          <w:szCs w:val="22"/>
        </w:rPr>
        <w:t>Graó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Liguori</w:t>
      </w:r>
      <w:proofErr w:type="spellEnd"/>
      <w:r>
        <w:rPr>
          <w:color w:val="auto"/>
          <w:sz w:val="22"/>
          <w:szCs w:val="22"/>
        </w:rPr>
        <w:t xml:space="preserve">, L. y </w:t>
      </w:r>
      <w:proofErr w:type="spellStart"/>
      <w:r>
        <w:rPr>
          <w:color w:val="auto"/>
          <w:sz w:val="22"/>
          <w:szCs w:val="22"/>
        </w:rPr>
        <w:t>Noste</w:t>
      </w:r>
      <w:proofErr w:type="spellEnd"/>
      <w:r>
        <w:rPr>
          <w:color w:val="auto"/>
          <w:sz w:val="22"/>
          <w:szCs w:val="22"/>
        </w:rPr>
        <w:t xml:space="preserve">, M.I. (2005). </w:t>
      </w:r>
      <w:r>
        <w:rPr>
          <w:i/>
          <w:iCs/>
          <w:color w:val="auto"/>
          <w:sz w:val="22"/>
          <w:szCs w:val="22"/>
        </w:rPr>
        <w:t>Didáctica de las Ciencias Naturales</w:t>
      </w:r>
      <w:r>
        <w:rPr>
          <w:color w:val="auto"/>
          <w:sz w:val="22"/>
          <w:szCs w:val="22"/>
        </w:rPr>
        <w:t xml:space="preserve">. Rosario: Homo Sapiens. </w:t>
      </w: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Meinardi</w:t>
      </w:r>
      <w:proofErr w:type="spellEnd"/>
      <w:r>
        <w:rPr>
          <w:color w:val="auto"/>
          <w:sz w:val="22"/>
          <w:szCs w:val="22"/>
        </w:rPr>
        <w:t xml:space="preserve">, E. (coord.) (2010). </w:t>
      </w:r>
      <w:r>
        <w:rPr>
          <w:i/>
          <w:iCs/>
          <w:color w:val="auto"/>
          <w:sz w:val="22"/>
          <w:szCs w:val="22"/>
        </w:rPr>
        <w:t xml:space="preserve">Proyecto de mejora para la formación inicial de profesores para el nivel secundario. Área Biología. </w:t>
      </w:r>
      <w:r>
        <w:rPr>
          <w:color w:val="auto"/>
          <w:sz w:val="22"/>
          <w:szCs w:val="22"/>
        </w:rPr>
        <w:t xml:space="preserve">Buenos Aires: Secretaría de Políticas Universitarias, Instituto Nacional de Formación Docente, Ministerio de Educación de la Nación. </w:t>
      </w: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Meinardi</w:t>
      </w:r>
      <w:proofErr w:type="spellEnd"/>
      <w:r>
        <w:rPr>
          <w:color w:val="auto"/>
          <w:sz w:val="22"/>
          <w:szCs w:val="22"/>
        </w:rPr>
        <w:t xml:space="preserve">, E.; González </w:t>
      </w:r>
      <w:proofErr w:type="spellStart"/>
      <w:r>
        <w:rPr>
          <w:color w:val="auto"/>
          <w:sz w:val="22"/>
          <w:szCs w:val="22"/>
        </w:rPr>
        <w:t>Galli</w:t>
      </w:r>
      <w:proofErr w:type="spellEnd"/>
      <w:r>
        <w:rPr>
          <w:color w:val="auto"/>
          <w:sz w:val="22"/>
          <w:szCs w:val="22"/>
        </w:rPr>
        <w:t xml:space="preserve">, L.; </w:t>
      </w:r>
      <w:proofErr w:type="spellStart"/>
      <w:r>
        <w:rPr>
          <w:color w:val="auto"/>
          <w:sz w:val="22"/>
          <w:szCs w:val="22"/>
        </w:rPr>
        <w:t>Revel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Chion</w:t>
      </w:r>
      <w:proofErr w:type="spellEnd"/>
      <w:r>
        <w:rPr>
          <w:color w:val="auto"/>
          <w:sz w:val="22"/>
          <w:szCs w:val="22"/>
        </w:rPr>
        <w:t xml:space="preserve">, A. y Plaza, M. (2010). </w:t>
      </w:r>
      <w:r>
        <w:rPr>
          <w:i/>
          <w:iCs/>
          <w:color w:val="auto"/>
          <w:sz w:val="22"/>
          <w:szCs w:val="22"/>
        </w:rPr>
        <w:t>Educar en Ciencias</w:t>
      </w:r>
      <w:r>
        <w:rPr>
          <w:color w:val="auto"/>
          <w:sz w:val="22"/>
          <w:szCs w:val="22"/>
        </w:rPr>
        <w:t xml:space="preserve">. Buenos Aires: </w:t>
      </w:r>
      <w:proofErr w:type="spellStart"/>
      <w:r>
        <w:rPr>
          <w:color w:val="auto"/>
          <w:sz w:val="22"/>
          <w:szCs w:val="22"/>
        </w:rPr>
        <w:t>Paidos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Perales Palacios, F.J. y Cañal de León, P. (coord.) (2000). </w:t>
      </w:r>
      <w:r>
        <w:rPr>
          <w:i/>
          <w:iCs/>
          <w:color w:val="auto"/>
          <w:sz w:val="22"/>
          <w:szCs w:val="22"/>
        </w:rPr>
        <w:t xml:space="preserve">Didáctica de las ciencias experimentales: teoría y práctica de la enseñanza de las ciencias. </w:t>
      </w:r>
      <w:r>
        <w:rPr>
          <w:color w:val="auto"/>
          <w:sz w:val="22"/>
          <w:szCs w:val="22"/>
        </w:rPr>
        <w:t xml:space="preserve">España: Marfil. </w:t>
      </w: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Pujol, M. R. (2007). </w:t>
      </w:r>
      <w:r>
        <w:rPr>
          <w:i/>
          <w:iCs/>
          <w:color w:val="auto"/>
          <w:sz w:val="22"/>
          <w:szCs w:val="22"/>
        </w:rPr>
        <w:t>Didáctica de las ciencias en la educación primaria</w:t>
      </w:r>
      <w:r>
        <w:rPr>
          <w:color w:val="auto"/>
          <w:sz w:val="22"/>
          <w:szCs w:val="22"/>
        </w:rPr>
        <w:t xml:space="preserve">. Madrid: Síntesis. </w:t>
      </w: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Sanmartí</w:t>
      </w:r>
      <w:proofErr w:type="spellEnd"/>
      <w:r>
        <w:rPr>
          <w:color w:val="auto"/>
          <w:sz w:val="22"/>
          <w:szCs w:val="22"/>
        </w:rPr>
        <w:t xml:space="preserve">, N. (2002). </w:t>
      </w:r>
      <w:r>
        <w:rPr>
          <w:i/>
          <w:iCs/>
          <w:color w:val="auto"/>
          <w:sz w:val="22"/>
          <w:szCs w:val="22"/>
        </w:rPr>
        <w:t>Didáctica de las Ciencias en la Educación Secundaria Obligatoria</w:t>
      </w:r>
      <w:r>
        <w:rPr>
          <w:color w:val="auto"/>
          <w:sz w:val="22"/>
          <w:szCs w:val="22"/>
        </w:rPr>
        <w:t xml:space="preserve">. Madrid: Síntesis. </w:t>
      </w: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Steiman</w:t>
      </w:r>
      <w:proofErr w:type="spellEnd"/>
      <w:r>
        <w:rPr>
          <w:color w:val="auto"/>
          <w:sz w:val="22"/>
          <w:szCs w:val="22"/>
        </w:rPr>
        <w:t xml:space="preserve">, J. (2008). </w:t>
      </w:r>
      <w:r>
        <w:rPr>
          <w:i/>
          <w:iCs/>
          <w:color w:val="auto"/>
          <w:sz w:val="22"/>
          <w:szCs w:val="22"/>
        </w:rPr>
        <w:t xml:space="preserve">Más Didáctica (en la Educación Superior). </w:t>
      </w:r>
      <w:r>
        <w:rPr>
          <w:color w:val="auto"/>
          <w:sz w:val="22"/>
          <w:szCs w:val="22"/>
        </w:rPr>
        <w:t xml:space="preserve">Buenos Aires: Miño y Dávila. </w:t>
      </w:r>
    </w:p>
    <w:p w:rsidR="00C17EAA" w:rsidRDefault="00C17EAA" w:rsidP="00C17EAA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Veglia</w:t>
      </w:r>
      <w:proofErr w:type="spellEnd"/>
      <w:r>
        <w:rPr>
          <w:color w:val="auto"/>
          <w:sz w:val="22"/>
          <w:szCs w:val="22"/>
        </w:rPr>
        <w:t xml:space="preserve">, S. (2007). </w:t>
      </w:r>
      <w:r>
        <w:rPr>
          <w:i/>
          <w:iCs/>
          <w:color w:val="auto"/>
          <w:sz w:val="22"/>
          <w:szCs w:val="22"/>
        </w:rPr>
        <w:t>Ciencias Naturales y Aprendizaje significativo</w:t>
      </w:r>
      <w:r>
        <w:rPr>
          <w:color w:val="auto"/>
          <w:sz w:val="22"/>
          <w:szCs w:val="22"/>
        </w:rPr>
        <w:t xml:space="preserve">. Buenos Aires: Novedades Educativas. </w:t>
      </w:r>
    </w:p>
    <w:p w:rsidR="00C17EAA" w:rsidRDefault="00C17EAA" w:rsidP="00C17EAA">
      <w:pPr>
        <w:pStyle w:val="Default"/>
        <w:ind w:left="720"/>
        <w:jc w:val="both"/>
        <w:rPr>
          <w:i/>
          <w:iCs/>
          <w:color w:val="auto"/>
          <w:sz w:val="22"/>
          <w:szCs w:val="22"/>
        </w:rPr>
      </w:pPr>
    </w:p>
    <w:p w:rsidR="00C17EAA" w:rsidRDefault="00C17EAA" w:rsidP="00C17EAA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Documentos oficiales </w:t>
      </w:r>
    </w:p>
    <w:p w:rsidR="00C17EAA" w:rsidRPr="00C17EAA" w:rsidRDefault="00C17EAA" w:rsidP="00C17EA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lang w:val="es-ES_tradnl"/>
        </w:rPr>
      </w:pPr>
      <w:r>
        <w:t xml:space="preserve">Consejo Federal de Educación (2011). </w:t>
      </w:r>
      <w:r w:rsidRPr="00C17EAA">
        <w:rPr>
          <w:i/>
          <w:iCs/>
        </w:rPr>
        <w:t>Núcleos de Aprendizajes Prioritarios. Ciclo Básico Educación Secundaria, 1° y 2° / 2° y 3° Años. Ciencias Naturales</w:t>
      </w:r>
      <w:r>
        <w:t>. Documento aprobado por Res. CFE N° 141/11.</w:t>
      </w:r>
    </w:p>
    <w:p w:rsidR="009D0A0F" w:rsidRPr="00CE5CA8" w:rsidRDefault="009D0A0F" w:rsidP="00C17EAA">
      <w:pPr>
        <w:jc w:val="both"/>
        <w:rPr>
          <w:rFonts w:ascii="Arial" w:hAnsi="Arial" w:cs="Arial"/>
          <w:lang w:val="es-ES_tradnl"/>
        </w:rPr>
      </w:pPr>
    </w:p>
    <w:sectPr w:rsidR="009D0A0F" w:rsidRPr="00CE5CA8" w:rsidSect="00062AE4">
      <w:footerReference w:type="even" r:id="rId9"/>
      <w:footerReference w:type="default" r:id="rId10"/>
      <w:pgSz w:w="11907" w:h="16840" w:code="9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8B9" w:rsidRDefault="001F68B9" w:rsidP="00952BB9">
      <w:pPr>
        <w:spacing w:after="0" w:line="240" w:lineRule="auto"/>
      </w:pPr>
      <w:r>
        <w:separator/>
      </w:r>
    </w:p>
  </w:endnote>
  <w:endnote w:type="continuationSeparator" w:id="0">
    <w:p w:rsidR="001F68B9" w:rsidRDefault="001F68B9" w:rsidP="0095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FC" w:rsidRDefault="00952BB9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 w:rsidR="00A90B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7DFC" w:rsidRDefault="001F68B9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0985"/>
      <w:docPartObj>
        <w:docPartGallery w:val="Page Numbers (Bottom of Page)"/>
        <w:docPartUnique/>
      </w:docPartObj>
    </w:sdtPr>
    <w:sdtEndPr/>
    <w:sdtContent>
      <w:p w:rsidR="006F6940" w:rsidRDefault="00952BB9">
        <w:pPr>
          <w:pStyle w:val="Piedepgina"/>
          <w:jc w:val="right"/>
        </w:pPr>
        <w:r>
          <w:fldChar w:fldCharType="begin"/>
        </w:r>
        <w:r w:rsidR="00A90B7D">
          <w:instrText xml:space="preserve"> PAGE   \* MERGEFORMAT </w:instrText>
        </w:r>
        <w:r>
          <w:fldChar w:fldCharType="separate"/>
        </w:r>
        <w:r w:rsidR="00A07D9D">
          <w:rPr>
            <w:noProof/>
          </w:rPr>
          <w:t>1</w:t>
        </w:r>
        <w:r>
          <w:fldChar w:fldCharType="end"/>
        </w:r>
      </w:p>
    </w:sdtContent>
  </w:sdt>
  <w:p w:rsidR="006F6940" w:rsidRDefault="001F68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8B9" w:rsidRDefault="001F68B9" w:rsidP="00952BB9">
      <w:pPr>
        <w:spacing w:after="0" w:line="240" w:lineRule="auto"/>
      </w:pPr>
      <w:r>
        <w:separator/>
      </w:r>
    </w:p>
  </w:footnote>
  <w:footnote w:type="continuationSeparator" w:id="0">
    <w:p w:rsidR="001F68B9" w:rsidRDefault="001F68B9" w:rsidP="00952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326"/>
    <w:multiLevelType w:val="hybridMultilevel"/>
    <w:tmpl w:val="75D6F5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D71A5"/>
    <w:multiLevelType w:val="hybridMultilevel"/>
    <w:tmpl w:val="08F87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753D"/>
    <w:multiLevelType w:val="hybridMultilevel"/>
    <w:tmpl w:val="A2BA2CF8"/>
    <w:lvl w:ilvl="0" w:tplc="E7122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B2598"/>
    <w:multiLevelType w:val="hybridMultilevel"/>
    <w:tmpl w:val="D39E095E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EA11388"/>
    <w:multiLevelType w:val="hybridMultilevel"/>
    <w:tmpl w:val="060C53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A7E3D"/>
    <w:multiLevelType w:val="hybridMultilevel"/>
    <w:tmpl w:val="5ABAF4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20133"/>
    <w:multiLevelType w:val="hybridMultilevel"/>
    <w:tmpl w:val="4B7E71D2"/>
    <w:lvl w:ilvl="0" w:tplc="32EAB2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E73672"/>
    <w:multiLevelType w:val="hybridMultilevel"/>
    <w:tmpl w:val="BE204C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FD"/>
    <w:rsid w:val="000A65C9"/>
    <w:rsid w:val="000D27FD"/>
    <w:rsid w:val="00113AF2"/>
    <w:rsid w:val="001F68B9"/>
    <w:rsid w:val="0022416E"/>
    <w:rsid w:val="0025315C"/>
    <w:rsid w:val="00263655"/>
    <w:rsid w:val="002710CB"/>
    <w:rsid w:val="002D07A0"/>
    <w:rsid w:val="00360746"/>
    <w:rsid w:val="00380493"/>
    <w:rsid w:val="00465E51"/>
    <w:rsid w:val="00513568"/>
    <w:rsid w:val="005B4B1E"/>
    <w:rsid w:val="005B5A3B"/>
    <w:rsid w:val="00605665"/>
    <w:rsid w:val="006A420D"/>
    <w:rsid w:val="006E0C04"/>
    <w:rsid w:val="00781505"/>
    <w:rsid w:val="007948C9"/>
    <w:rsid w:val="00811DE9"/>
    <w:rsid w:val="00865C2C"/>
    <w:rsid w:val="008923BC"/>
    <w:rsid w:val="008B0883"/>
    <w:rsid w:val="008E3CC1"/>
    <w:rsid w:val="00927C28"/>
    <w:rsid w:val="00943CDF"/>
    <w:rsid w:val="00952BB9"/>
    <w:rsid w:val="0095761B"/>
    <w:rsid w:val="009D0A0F"/>
    <w:rsid w:val="009F34B8"/>
    <w:rsid w:val="00A07D9D"/>
    <w:rsid w:val="00A90B7D"/>
    <w:rsid w:val="00AA0022"/>
    <w:rsid w:val="00AF17AD"/>
    <w:rsid w:val="00AF28B1"/>
    <w:rsid w:val="00BE1BC3"/>
    <w:rsid w:val="00C17EAA"/>
    <w:rsid w:val="00C607BB"/>
    <w:rsid w:val="00CA2F86"/>
    <w:rsid w:val="00CB1B26"/>
    <w:rsid w:val="00CE5CA8"/>
    <w:rsid w:val="00CF32BF"/>
    <w:rsid w:val="00E725B1"/>
    <w:rsid w:val="00F1194B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05"/>
  </w:style>
  <w:style w:type="paragraph" w:styleId="Ttulo2">
    <w:name w:val="heading 2"/>
    <w:basedOn w:val="Normal"/>
    <w:next w:val="Normal"/>
    <w:link w:val="Ttulo2Car"/>
    <w:qFormat/>
    <w:rsid w:val="009F34B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0D27FD"/>
  </w:style>
  <w:style w:type="character" w:customStyle="1" w:styleId="Ttulo2Car">
    <w:name w:val="Título 2 Car"/>
    <w:basedOn w:val="Fuentedeprrafopredeter"/>
    <w:link w:val="Ttulo2"/>
    <w:rsid w:val="009F34B8"/>
    <w:rPr>
      <w:rFonts w:ascii="Arial" w:eastAsia="Times New Roman" w:hAnsi="Arial" w:cs="Times New Roman"/>
      <w:b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9F34B8"/>
    <w:pPr>
      <w:spacing w:after="0" w:line="240" w:lineRule="auto"/>
    </w:pPr>
    <w:rPr>
      <w:rFonts w:ascii="Arial" w:eastAsia="Times New Roman" w:hAnsi="Arial" w:cs="Times New Roman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9F34B8"/>
    <w:rPr>
      <w:rFonts w:ascii="Arial" w:eastAsia="Times New Roman" w:hAnsi="Arial" w:cs="Times New Roman"/>
      <w:szCs w:val="20"/>
      <w:lang w:val="es-AR"/>
    </w:rPr>
  </w:style>
  <w:style w:type="paragraph" w:styleId="Piedepgina">
    <w:name w:val="footer"/>
    <w:basedOn w:val="Normal"/>
    <w:link w:val="PiedepginaCar"/>
    <w:uiPriority w:val="99"/>
    <w:rsid w:val="009F34B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34B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merodepgina">
    <w:name w:val="page number"/>
    <w:basedOn w:val="Fuentedeprrafopredeter"/>
    <w:rsid w:val="009F34B8"/>
  </w:style>
  <w:style w:type="paragraph" w:customStyle="1" w:styleId="POLItitulo2">
    <w:name w:val="POLI titulo 2"/>
    <w:basedOn w:val="Normal"/>
    <w:rsid w:val="009F34B8"/>
    <w:pPr>
      <w:spacing w:after="0" w:line="240" w:lineRule="auto"/>
    </w:pPr>
    <w:rPr>
      <w:rFonts w:ascii="Arial" w:eastAsia="Times New Roman" w:hAnsi="Arial" w:cs="Times New Roman"/>
      <w:b/>
      <w:szCs w:val="20"/>
      <w:lang w:val="en-GB"/>
    </w:rPr>
  </w:style>
  <w:style w:type="paragraph" w:styleId="Prrafodelista">
    <w:name w:val="List Paragraph"/>
    <w:basedOn w:val="Normal"/>
    <w:uiPriority w:val="34"/>
    <w:qFormat/>
    <w:rsid w:val="009F3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fasis">
    <w:name w:val="Emphasis"/>
    <w:basedOn w:val="Fuentedeprrafopredeter"/>
    <w:uiPriority w:val="20"/>
    <w:qFormat/>
    <w:rsid w:val="009F34B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F34B8"/>
    <w:rPr>
      <w:color w:val="0000FF" w:themeColor="hyperlink"/>
      <w:u w:val="single"/>
    </w:rPr>
  </w:style>
  <w:style w:type="paragraph" w:customStyle="1" w:styleId="Default">
    <w:name w:val="Default"/>
    <w:rsid w:val="00BE1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05"/>
  </w:style>
  <w:style w:type="paragraph" w:styleId="Ttulo2">
    <w:name w:val="heading 2"/>
    <w:basedOn w:val="Normal"/>
    <w:next w:val="Normal"/>
    <w:link w:val="Ttulo2Car"/>
    <w:qFormat/>
    <w:rsid w:val="009F34B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0D27FD"/>
  </w:style>
  <w:style w:type="character" w:customStyle="1" w:styleId="Ttulo2Car">
    <w:name w:val="Título 2 Car"/>
    <w:basedOn w:val="Fuentedeprrafopredeter"/>
    <w:link w:val="Ttulo2"/>
    <w:rsid w:val="009F34B8"/>
    <w:rPr>
      <w:rFonts w:ascii="Arial" w:eastAsia="Times New Roman" w:hAnsi="Arial" w:cs="Times New Roman"/>
      <w:b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9F34B8"/>
    <w:pPr>
      <w:spacing w:after="0" w:line="240" w:lineRule="auto"/>
    </w:pPr>
    <w:rPr>
      <w:rFonts w:ascii="Arial" w:eastAsia="Times New Roman" w:hAnsi="Arial" w:cs="Times New Roman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9F34B8"/>
    <w:rPr>
      <w:rFonts w:ascii="Arial" w:eastAsia="Times New Roman" w:hAnsi="Arial" w:cs="Times New Roman"/>
      <w:szCs w:val="20"/>
      <w:lang w:val="es-AR"/>
    </w:rPr>
  </w:style>
  <w:style w:type="paragraph" w:styleId="Piedepgina">
    <w:name w:val="footer"/>
    <w:basedOn w:val="Normal"/>
    <w:link w:val="PiedepginaCar"/>
    <w:uiPriority w:val="99"/>
    <w:rsid w:val="009F34B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34B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merodepgina">
    <w:name w:val="page number"/>
    <w:basedOn w:val="Fuentedeprrafopredeter"/>
    <w:rsid w:val="009F34B8"/>
  </w:style>
  <w:style w:type="paragraph" w:customStyle="1" w:styleId="POLItitulo2">
    <w:name w:val="POLI titulo 2"/>
    <w:basedOn w:val="Normal"/>
    <w:rsid w:val="009F34B8"/>
    <w:pPr>
      <w:spacing w:after="0" w:line="240" w:lineRule="auto"/>
    </w:pPr>
    <w:rPr>
      <w:rFonts w:ascii="Arial" w:eastAsia="Times New Roman" w:hAnsi="Arial" w:cs="Times New Roman"/>
      <w:b/>
      <w:szCs w:val="20"/>
      <w:lang w:val="en-GB"/>
    </w:rPr>
  </w:style>
  <w:style w:type="paragraph" w:styleId="Prrafodelista">
    <w:name w:val="List Paragraph"/>
    <w:basedOn w:val="Normal"/>
    <w:uiPriority w:val="34"/>
    <w:qFormat/>
    <w:rsid w:val="009F3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fasis">
    <w:name w:val="Emphasis"/>
    <w:basedOn w:val="Fuentedeprrafopredeter"/>
    <w:uiPriority w:val="20"/>
    <w:qFormat/>
    <w:rsid w:val="009F34B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F34B8"/>
    <w:rPr>
      <w:color w:val="0000FF" w:themeColor="hyperlink"/>
      <w:u w:val="single"/>
    </w:rPr>
  </w:style>
  <w:style w:type="paragraph" w:customStyle="1" w:styleId="Default">
    <w:name w:val="Default"/>
    <w:rsid w:val="00BE1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1046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PXL</dc:creator>
  <cp:lastModifiedBy>Flavia Boglione</cp:lastModifiedBy>
  <cp:revision>6</cp:revision>
  <dcterms:created xsi:type="dcterms:W3CDTF">2017-05-08T18:39:00Z</dcterms:created>
  <dcterms:modified xsi:type="dcterms:W3CDTF">2018-05-03T19:07:00Z</dcterms:modified>
</cp:coreProperties>
</file>